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6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425"/>
        <w:gridCol w:w="4425"/>
        <w:gridCol w:w="4425"/>
      </w:tblGrid>
      <w:tr w:rsidR="00B153F7" w:rsidRPr="00B0742B" w14:paraId="362D80B6" w14:textId="11BCAF34" w:rsidTr="00B153F7">
        <w:trPr>
          <w:trHeight w:val="2268"/>
        </w:trPr>
        <w:tc>
          <w:tcPr>
            <w:tcW w:w="3652" w:type="dxa"/>
          </w:tcPr>
          <w:p w14:paraId="02620AB4" w14:textId="77777777" w:rsidR="00B153F7" w:rsidRPr="005F6B10" w:rsidRDefault="00B153F7" w:rsidP="00B47780">
            <w:pPr>
              <w:rPr>
                <w:color w:val="FF0000"/>
              </w:rPr>
            </w:pPr>
          </w:p>
        </w:tc>
        <w:tc>
          <w:tcPr>
            <w:tcW w:w="4425" w:type="dxa"/>
            <w:noWrap/>
          </w:tcPr>
          <w:p w14:paraId="06413B50" w14:textId="3788CF1D" w:rsidR="00B153F7" w:rsidRPr="005F6B10" w:rsidRDefault="00B153F7" w:rsidP="00704D9C">
            <w:pPr>
              <w:spacing w:line="240" w:lineRule="auto"/>
              <w:ind w:left="1877" w:right="-1211"/>
              <w:rPr>
                <w:color w:val="FF0000"/>
              </w:rPr>
            </w:pPr>
            <w:r>
              <w:t xml:space="preserve">Kammarrätten i Sundsvall </w:t>
            </w:r>
            <w:commentRangeStart w:id="0"/>
            <w:commentRangeEnd w:id="0"/>
            <w:r>
              <w:rPr>
                <w:rStyle w:val="Kommentarsreferens"/>
              </w:rPr>
              <w:commentReference w:id="0"/>
            </w:r>
          </w:p>
          <w:p w14:paraId="0F8D2E14" w14:textId="77777777" w:rsidR="00B153F7" w:rsidRPr="005F6B10" w:rsidRDefault="00B153F7" w:rsidP="00B47780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4425" w:type="dxa"/>
          </w:tcPr>
          <w:p w14:paraId="46640F9E" w14:textId="77777777" w:rsidR="00B153F7" w:rsidRDefault="00B153F7" w:rsidP="00704D9C">
            <w:pPr>
              <w:spacing w:line="240" w:lineRule="auto"/>
              <w:ind w:left="1877" w:right="-1211"/>
            </w:pPr>
          </w:p>
        </w:tc>
        <w:tc>
          <w:tcPr>
            <w:tcW w:w="4425" w:type="dxa"/>
          </w:tcPr>
          <w:p w14:paraId="0E9A1BEF" w14:textId="3548D6C5" w:rsidR="00B153F7" w:rsidRDefault="00B153F7" w:rsidP="00704D9C">
            <w:pPr>
              <w:spacing w:line="240" w:lineRule="auto"/>
              <w:ind w:left="1877" w:right="-1211"/>
            </w:pPr>
          </w:p>
        </w:tc>
      </w:tr>
    </w:tbl>
    <w:p w14:paraId="0AAF8D57" w14:textId="1920D46C" w:rsidR="00935B62" w:rsidRPr="00704D9C" w:rsidRDefault="00935B62" w:rsidP="00935B62">
      <w:pPr>
        <w:pStyle w:val="Rubrik1"/>
        <w:keepNext w:val="0"/>
        <w:keepLines w:val="0"/>
        <w:rPr>
          <w:b/>
        </w:rPr>
      </w:pPr>
      <w:r w:rsidRPr="00704D9C">
        <w:rPr>
          <w:b/>
        </w:rPr>
        <w:t>ÖVERKLAGANDE</w:t>
      </w:r>
      <w:r w:rsidR="00A971FB">
        <w:rPr>
          <w:b/>
        </w:rPr>
        <w:t xml:space="preserve"> AV </w:t>
      </w:r>
      <w:r w:rsidR="00B153F7">
        <w:rPr>
          <w:b/>
        </w:rPr>
        <w:t xml:space="preserve">FÖRVALTNINGSRÄTTEN I LULEÅ </w:t>
      </w:r>
      <w:r w:rsidR="00A971FB">
        <w:rPr>
          <w:b/>
        </w:rPr>
        <w:t>BESLUT OM UNDERSÖKNINGSTILLSTÅND</w:t>
      </w:r>
    </w:p>
    <w:p w14:paraId="0BCDFBDB" w14:textId="77777777" w:rsidR="00935B62" w:rsidRDefault="00935B62" w:rsidP="00935B62"/>
    <w:p w14:paraId="7843AB57" w14:textId="77777777" w:rsidR="00935B62" w:rsidRDefault="00935B62" w:rsidP="00935B62">
      <w:pPr>
        <w:rPr>
          <w:b/>
        </w:rPr>
      </w:pPr>
    </w:p>
    <w:p w14:paraId="57111DF1" w14:textId="28D095CC" w:rsidR="00935B62" w:rsidRPr="0087756B" w:rsidRDefault="00935B62" w:rsidP="00935B62">
      <w:pPr>
        <w:tabs>
          <w:tab w:val="left" w:pos="1985"/>
        </w:tabs>
      </w:pPr>
      <w:r w:rsidRPr="0087756B">
        <w:rPr>
          <w:b/>
        </w:rPr>
        <w:t>Klagande</w:t>
      </w:r>
      <w:r w:rsidRPr="0087756B">
        <w:rPr>
          <w:b/>
        </w:rPr>
        <w:tab/>
      </w:r>
      <w:r w:rsidRPr="00704D9C">
        <w:rPr>
          <w:highlight w:val="yellow"/>
        </w:rPr>
        <w:t>[Namn /adress]</w:t>
      </w:r>
      <w:r w:rsidR="00731F82">
        <w:t xml:space="preserve"> (eventuellt se nedan om ni är flera)</w:t>
      </w:r>
    </w:p>
    <w:p w14:paraId="46B691C6" w14:textId="77777777" w:rsidR="00935B62" w:rsidRPr="005F6B10" w:rsidRDefault="00935B62" w:rsidP="00935B62">
      <w:pPr>
        <w:rPr>
          <w:b/>
          <w:color w:val="FF0000"/>
        </w:rPr>
      </w:pPr>
    </w:p>
    <w:p w14:paraId="3891C08D" w14:textId="4A94ACE6" w:rsidR="00BB00EA" w:rsidRPr="00BB00EA" w:rsidRDefault="00935B62" w:rsidP="00BB00EA">
      <w:pPr>
        <w:tabs>
          <w:tab w:val="left" w:pos="1985"/>
        </w:tabs>
      </w:pPr>
      <w:r w:rsidRPr="0087756B">
        <w:rPr>
          <w:b/>
        </w:rPr>
        <w:t xml:space="preserve">Överklagat </w:t>
      </w:r>
      <w:r w:rsidRPr="0087756B">
        <w:t xml:space="preserve"> </w:t>
      </w:r>
      <w:r w:rsidRPr="0087756B">
        <w:tab/>
        <w:t xml:space="preserve">Beslut av </w:t>
      </w:r>
      <w:r w:rsidR="00B153F7">
        <w:t>Förvaltningsrätten i Luleå</w:t>
      </w:r>
      <w:r w:rsidRPr="0087756B">
        <w:t xml:space="preserve">, </w:t>
      </w:r>
      <w:r w:rsidRPr="00704D9C">
        <w:rPr>
          <w:highlight w:val="yellow"/>
        </w:rPr>
        <w:t>[datum/d nr]</w:t>
      </w:r>
      <w:r w:rsidR="006C6B66" w:rsidRPr="006C6B66">
        <w:t xml:space="preserve"> </w:t>
      </w:r>
    </w:p>
    <w:p w14:paraId="693E89F1" w14:textId="77777777" w:rsidR="00935B62" w:rsidRDefault="00935B62" w:rsidP="00935B62">
      <w:pPr>
        <w:tabs>
          <w:tab w:val="left" w:pos="3402"/>
          <w:tab w:val="left" w:pos="5104"/>
        </w:tabs>
        <w:rPr>
          <w:rFonts w:asciiTheme="minorHAnsi" w:hAnsiTheme="minorHAnsi"/>
        </w:rPr>
      </w:pPr>
    </w:p>
    <w:p w14:paraId="1F3EE3E1" w14:textId="77777777" w:rsidR="00935B62" w:rsidRPr="004430A1" w:rsidRDefault="00935B62" w:rsidP="00935B62"/>
    <w:p w14:paraId="4AB8F5D8" w14:textId="77777777" w:rsidR="00935B62" w:rsidRPr="00774DC5" w:rsidRDefault="00935B62" w:rsidP="00774DC5">
      <w:pPr>
        <w:tabs>
          <w:tab w:val="left" w:pos="3402"/>
          <w:tab w:val="left" w:pos="5104"/>
        </w:tabs>
        <w:rPr>
          <w:b/>
          <w:sz w:val="28"/>
          <w:szCs w:val="28"/>
        </w:rPr>
      </w:pPr>
      <w:r w:rsidRPr="00774DC5">
        <w:rPr>
          <w:b/>
          <w:sz w:val="28"/>
          <w:szCs w:val="28"/>
        </w:rPr>
        <w:t>Yrkande</w:t>
      </w:r>
    </w:p>
    <w:p w14:paraId="34BC47C5" w14:textId="77777777" w:rsidR="00935B62" w:rsidRDefault="00935B62" w:rsidP="00935B62">
      <w:pPr>
        <w:tabs>
          <w:tab w:val="left" w:pos="3402"/>
          <w:tab w:val="left" w:pos="5104"/>
        </w:tabs>
        <w:rPr>
          <w:b/>
          <w:sz w:val="28"/>
          <w:szCs w:val="28"/>
        </w:rPr>
      </w:pPr>
    </w:p>
    <w:p w14:paraId="44B0E61B" w14:textId="512829BA" w:rsidR="00C92C27" w:rsidRDefault="00365D06" w:rsidP="00935B62">
      <w:pPr>
        <w:tabs>
          <w:tab w:val="left" w:pos="3402"/>
          <w:tab w:val="left" w:pos="5104"/>
        </w:tabs>
      </w:pPr>
      <w:r>
        <w:t>[</w:t>
      </w:r>
      <w:r w:rsidRPr="00365D06">
        <w:rPr>
          <w:i/>
          <w:highlight w:val="yellow"/>
        </w:rPr>
        <w:t>Jag/Vi</w:t>
      </w:r>
      <w:r>
        <w:t xml:space="preserve">], </w:t>
      </w:r>
      <w:r w:rsidR="00935B62">
        <w:t xml:space="preserve">yrkar att </w:t>
      </w:r>
      <w:r w:rsidR="00B153F7">
        <w:t>Kammarrätten i Sundsvall</w:t>
      </w:r>
      <w:r>
        <w:t xml:space="preserve"> </w:t>
      </w:r>
      <w:r w:rsidR="00935B62">
        <w:t xml:space="preserve">ska upphäva </w:t>
      </w:r>
      <w:r w:rsidR="00A23882">
        <w:t>Förvaltningsrätten i Luleås</w:t>
      </w:r>
      <w:r w:rsidR="00935B62">
        <w:t xml:space="preserve"> beslut och avslå ansökan om undersökningstillstånd. </w:t>
      </w:r>
    </w:p>
    <w:p w14:paraId="23F3B3CD" w14:textId="77777777" w:rsidR="00704D9C" w:rsidRDefault="00704D9C" w:rsidP="00935B62">
      <w:pPr>
        <w:tabs>
          <w:tab w:val="left" w:pos="3402"/>
          <w:tab w:val="left" w:pos="5104"/>
        </w:tabs>
      </w:pPr>
    </w:p>
    <w:p w14:paraId="57458947" w14:textId="46DF3052" w:rsidR="00704D9C" w:rsidRDefault="00704D9C" w:rsidP="00935B62">
      <w:pPr>
        <w:tabs>
          <w:tab w:val="left" w:pos="3402"/>
          <w:tab w:val="left" w:pos="5104"/>
        </w:tabs>
      </w:pPr>
      <w:r>
        <w:t xml:space="preserve">Vidare, yrkas att </w:t>
      </w:r>
      <w:r w:rsidR="00B153F7">
        <w:t>Kammarrätten</w:t>
      </w:r>
      <w:r>
        <w:t xml:space="preserve"> beslutar om inhibition och förordnar att undersökningstillståndet tills vidare inte ska gälla.  </w:t>
      </w:r>
    </w:p>
    <w:p w14:paraId="21B03F6A" w14:textId="77777777" w:rsidR="00935B62" w:rsidRPr="00F86485" w:rsidRDefault="00935B62" w:rsidP="00935B62">
      <w:pPr>
        <w:tabs>
          <w:tab w:val="left" w:pos="3402"/>
          <w:tab w:val="left" w:pos="5104"/>
        </w:tabs>
        <w:rPr>
          <w:b/>
          <w:sz w:val="28"/>
          <w:szCs w:val="28"/>
        </w:rPr>
      </w:pPr>
    </w:p>
    <w:p w14:paraId="1DF02CB3" w14:textId="77777777" w:rsidR="00935B62" w:rsidRDefault="00935B62" w:rsidP="00935B62">
      <w:pPr>
        <w:tabs>
          <w:tab w:val="left" w:pos="3402"/>
          <w:tab w:val="left" w:pos="5104"/>
        </w:tabs>
      </w:pPr>
    </w:p>
    <w:p w14:paraId="21EF8607" w14:textId="370449F6" w:rsidR="00935B62" w:rsidRPr="00774DC5" w:rsidRDefault="00A23882" w:rsidP="00774DC5">
      <w:pPr>
        <w:keepNext/>
        <w:keepLines/>
        <w:tabs>
          <w:tab w:val="left" w:pos="3402"/>
          <w:tab w:val="left" w:pos="5104"/>
        </w:tabs>
        <w:rPr>
          <w:b/>
          <w:sz w:val="28"/>
          <w:szCs w:val="28"/>
        </w:rPr>
      </w:pPr>
      <w:r w:rsidRPr="00774DC5">
        <w:rPr>
          <w:b/>
          <w:sz w:val="28"/>
          <w:szCs w:val="28"/>
        </w:rPr>
        <w:t>Utveckling av ärendet</w:t>
      </w:r>
    </w:p>
    <w:p w14:paraId="7CF57A74" w14:textId="77777777" w:rsidR="00935B62" w:rsidRDefault="00935B62" w:rsidP="00935B62">
      <w:pPr>
        <w:keepNext/>
        <w:keepLines/>
        <w:tabs>
          <w:tab w:val="left" w:pos="3402"/>
          <w:tab w:val="left" w:pos="5104"/>
        </w:tabs>
        <w:rPr>
          <w:b/>
          <w:sz w:val="28"/>
          <w:szCs w:val="28"/>
        </w:rPr>
      </w:pPr>
    </w:p>
    <w:p w14:paraId="692E1D45" w14:textId="39FAC696" w:rsidR="001D493C" w:rsidRDefault="001D493C" w:rsidP="00935B62">
      <w:pPr>
        <w:rPr>
          <w:rFonts w:asciiTheme="minorHAnsi" w:hAnsiTheme="minorHAnsi" w:cs="TT6084o00"/>
        </w:rPr>
      </w:pPr>
      <w:r>
        <w:rPr>
          <w:rFonts w:asciiTheme="minorHAnsi" w:hAnsiTheme="minorHAnsi" w:cs="TT6084o00"/>
        </w:rPr>
        <w:t xml:space="preserve">Nedan utvecklar </w:t>
      </w:r>
      <w:r w:rsidRPr="001D493C">
        <w:rPr>
          <w:rFonts w:asciiTheme="minorHAnsi" w:hAnsiTheme="minorHAnsi" w:cs="TT6084o00"/>
          <w:highlight w:val="yellow"/>
        </w:rPr>
        <w:t>jag/vi</w:t>
      </w:r>
      <w:r>
        <w:rPr>
          <w:rFonts w:asciiTheme="minorHAnsi" w:hAnsiTheme="minorHAnsi" w:cs="TT6084o00"/>
        </w:rPr>
        <w:t xml:space="preserve"> varför </w:t>
      </w:r>
      <w:r w:rsidRPr="001D493C">
        <w:rPr>
          <w:rFonts w:asciiTheme="minorHAnsi" w:hAnsiTheme="minorHAnsi" w:cs="TT6084o00"/>
          <w:highlight w:val="yellow"/>
        </w:rPr>
        <w:t>jag/vi</w:t>
      </w:r>
      <w:r>
        <w:rPr>
          <w:rFonts w:asciiTheme="minorHAnsi" w:hAnsiTheme="minorHAnsi" w:cs="TT6084o00"/>
        </w:rPr>
        <w:t xml:space="preserve"> skäl till att Kammarrätten i Sundsvall skall upphäva Förvaltningsrätten i Luleås beslut att avslå </w:t>
      </w:r>
      <w:r w:rsidRPr="001D493C">
        <w:rPr>
          <w:rFonts w:asciiTheme="minorHAnsi" w:hAnsiTheme="minorHAnsi" w:cs="TT6084o00"/>
          <w:highlight w:val="yellow"/>
        </w:rPr>
        <w:t>mitt/vårt</w:t>
      </w:r>
      <w:r>
        <w:rPr>
          <w:rFonts w:asciiTheme="minorHAnsi" w:hAnsiTheme="minorHAnsi" w:cs="TT6084o00"/>
        </w:rPr>
        <w:t xml:space="preserve"> överklagande</w:t>
      </w:r>
    </w:p>
    <w:p w14:paraId="28599F72" w14:textId="77777777" w:rsidR="001D493C" w:rsidRDefault="001D493C" w:rsidP="00935B62">
      <w:pPr>
        <w:rPr>
          <w:rFonts w:asciiTheme="minorHAnsi" w:hAnsiTheme="minorHAnsi" w:cs="TT6084o00"/>
        </w:rPr>
      </w:pPr>
    </w:p>
    <w:p w14:paraId="552549A6" w14:textId="1F5A70C9" w:rsidR="00935B62" w:rsidRDefault="00935B62" w:rsidP="00935B62">
      <w:pPr>
        <w:rPr>
          <w:rFonts w:asciiTheme="minorHAnsi" w:hAnsiTheme="minorHAnsi" w:cs="TT6084o00"/>
        </w:rPr>
      </w:pPr>
      <w:r w:rsidRPr="008E4061">
        <w:rPr>
          <w:rFonts w:asciiTheme="minorHAnsi" w:hAnsiTheme="minorHAnsi" w:cs="TT6084o00"/>
        </w:rPr>
        <w:t>I förevarande fall har</w:t>
      </w:r>
      <w:r w:rsidR="00540E89">
        <w:rPr>
          <w:rFonts w:asciiTheme="minorHAnsi" w:hAnsiTheme="minorHAnsi" w:cs="TT6084o00"/>
        </w:rPr>
        <w:t xml:space="preserve"> Förvaltningsrätten i Luleå och</w:t>
      </w:r>
      <w:r w:rsidRPr="008E4061">
        <w:rPr>
          <w:rFonts w:asciiTheme="minorHAnsi" w:hAnsiTheme="minorHAnsi" w:cs="TT6084o00"/>
        </w:rPr>
        <w:t xml:space="preserve"> </w:t>
      </w:r>
      <w:r w:rsidR="00540E89">
        <w:rPr>
          <w:rFonts w:asciiTheme="minorHAnsi" w:hAnsiTheme="minorHAnsi" w:cs="TT6084o00"/>
        </w:rPr>
        <w:t>B</w:t>
      </w:r>
      <w:r w:rsidRPr="008E4061">
        <w:rPr>
          <w:rFonts w:asciiTheme="minorHAnsi" w:hAnsiTheme="minorHAnsi" w:cs="TT6084o00"/>
        </w:rPr>
        <w:t xml:space="preserve">ergmästaren mot bakgrund av mycket knapphändig information om såväl sökanden, tillståndsområdets lämplighet, arbetenas omfattning och omgivningspåverkan meddelat </w:t>
      </w:r>
      <w:r w:rsidR="00A23882">
        <w:rPr>
          <w:rFonts w:asciiTheme="minorHAnsi" w:hAnsiTheme="minorHAnsi" w:cs="TT6084o00"/>
        </w:rPr>
        <w:t>Scandiavanadium Ltd,</w:t>
      </w:r>
      <w:r w:rsidR="006C3B0B">
        <w:rPr>
          <w:rFonts w:asciiTheme="minorHAnsi" w:hAnsiTheme="minorHAnsi" w:cs="TT6084o00"/>
        </w:rPr>
        <w:t xml:space="preserve"> </w:t>
      </w:r>
      <w:r w:rsidRPr="008E4061">
        <w:rPr>
          <w:rFonts w:asciiTheme="minorHAnsi" w:hAnsiTheme="minorHAnsi" w:cs="TT6084o00"/>
        </w:rPr>
        <w:t xml:space="preserve">tillstånd att söka efter koncessionsmineraler inom </w:t>
      </w:r>
      <w:r w:rsidR="00C92C27" w:rsidRPr="00C92C27">
        <w:rPr>
          <w:rFonts w:asciiTheme="minorHAnsi" w:hAnsiTheme="minorHAnsi" w:cs="TT6084o00"/>
          <w:highlight w:val="yellow"/>
        </w:rPr>
        <w:t>vår/min</w:t>
      </w:r>
      <w:r w:rsidR="00C92C27">
        <w:rPr>
          <w:rFonts w:asciiTheme="minorHAnsi" w:hAnsiTheme="minorHAnsi" w:cs="TT6084o00"/>
        </w:rPr>
        <w:t xml:space="preserve"> fastighet</w:t>
      </w:r>
      <w:r w:rsidR="00B10158">
        <w:rPr>
          <w:rFonts w:asciiTheme="minorHAnsi" w:hAnsiTheme="minorHAnsi" w:cs="TT6084o00"/>
        </w:rPr>
        <w:t xml:space="preserve">. </w:t>
      </w:r>
    </w:p>
    <w:p w14:paraId="12874B6F" w14:textId="77777777" w:rsidR="00704D9C" w:rsidRPr="00704D9C" w:rsidRDefault="00704D9C" w:rsidP="00935B62">
      <w:pPr>
        <w:rPr>
          <w:rFonts w:asciiTheme="minorHAnsi" w:hAnsiTheme="minorHAnsi" w:cs="TT6084o00"/>
          <w:color w:val="FF0000"/>
        </w:rPr>
      </w:pPr>
    </w:p>
    <w:p w14:paraId="6B65AAE7" w14:textId="138F2E6C" w:rsidR="00935B62" w:rsidRPr="00704D9C" w:rsidRDefault="00935B62" w:rsidP="00935B62">
      <w:pPr>
        <w:rPr>
          <w:rFonts w:asciiTheme="minorHAnsi" w:hAnsiTheme="minorHAnsi" w:cs="TT6084o00"/>
          <w:i/>
        </w:rPr>
      </w:pPr>
      <w:r w:rsidRPr="0061333D">
        <w:rPr>
          <w:rFonts w:asciiTheme="minorHAnsi" w:hAnsiTheme="minorHAnsi" w:cs="TT6084o00"/>
        </w:rPr>
        <w:t>Sökanden måste fö</w:t>
      </w:r>
      <w:r w:rsidR="0061333D">
        <w:rPr>
          <w:rFonts w:asciiTheme="minorHAnsi" w:hAnsiTheme="minorHAnsi" w:cs="TT6084o00"/>
        </w:rPr>
        <w:t xml:space="preserve">r </w:t>
      </w:r>
      <w:r w:rsidR="00625BBE">
        <w:rPr>
          <w:rFonts w:asciiTheme="minorHAnsi" w:hAnsiTheme="minorHAnsi" w:cs="TT6084o00"/>
        </w:rPr>
        <w:t>Förvaltningsrätten i Luleå och B</w:t>
      </w:r>
      <w:r w:rsidR="0061333D">
        <w:rPr>
          <w:rFonts w:asciiTheme="minorHAnsi" w:hAnsiTheme="minorHAnsi" w:cs="TT6084o00"/>
        </w:rPr>
        <w:t>ergmästaren antas vara okänd</w:t>
      </w:r>
      <w:r w:rsidR="00365D06">
        <w:rPr>
          <w:rFonts w:asciiTheme="minorHAnsi" w:hAnsiTheme="minorHAnsi" w:cs="TT6084o00"/>
        </w:rPr>
        <w:t>.</w:t>
      </w:r>
      <w:r w:rsidR="0061333D">
        <w:rPr>
          <w:rFonts w:asciiTheme="minorHAnsi" w:hAnsiTheme="minorHAnsi" w:cs="TT6084o00"/>
          <w:i/>
        </w:rPr>
        <w:t xml:space="preserve"> </w:t>
      </w:r>
      <w:r w:rsidR="00365D06">
        <w:rPr>
          <w:rFonts w:asciiTheme="minorHAnsi" w:hAnsiTheme="minorHAnsi" w:cs="TT6084o00"/>
        </w:rPr>
        <w:t xml:space="preserve">Sökanden </w:t>
      </w:r>
      <w:r w:rsidRPr="0061333D">
        <w:rPr>
          <w:rFonts w:asciiTheme="minorHAnsi" w:hAnsiTheme="minorHAnsi" w:cs="TT6084o00"/>
        </w:rPr>
        <w:t xml:space="preserve">har </w:t>
      </w:r>
      <w:r w:rsidR="0061333D">
        <w:rPr>
          <w:rFonts w:asciiTheme="minorHAnsi" w:hAnsiTheme="minorHAnsi" w:cs="TT6084o00"/>
        </w:rPr>
        <w:t>inte</w:t>
      </w:r>
      <w:r w:rsidRPr="0061333D">
        <w:rPr>
          <w:rFonts w:asciiTheme="minorHAnsi" w:hAnsiTheme="minorHAnsi" w:cs="TT6084o00"/>
        </w:rPr>
        <w:t xml:space="preserve"> visat att det har de ekonomiska förutsättningarna eller den kunskap som krävs för att på ett ändamålsenligt sätt vidta tillståndsgivna undersökningsarbeten</w:t>
      </w:r>
      <w:r w:rsidR="0015367B">
        <w:rPr>
          <w:rFonts w:asciiTheme="minorHAnsi" w:hAnsiTheme="minorHAnsi" w:cs="TT6084o00"/>
        </w:rPr>
        <w:t xml:space="preserve">. Vare sig Förvaltningsrätten i Luleå eller Bergsstaten har undersökt sökandens ekonomiska resurser eller kompetens när det gäller </w:t>
      </w:r>
      <w:r w:rsidR="00B10158">
        <w:rPr>
          <w:rFonts w:asciiTheme="minorHAnsi" w:hAnsiTheme="minorHAnsi" w:cs="TT6084o00"/>
        </w:rPr>
        <w:t>undersökningstillstånd eller gruvbrytning inom aktuellt område.</w:t>
      </w:r>
    </w:p>
    <w:p w14:paraId="365A47FF" w14:textId="77777777" w:rsidR="00935B62" w:rsidRDefault="00935B62" w:rsidP="00935B62">
      <w:pPr>
        <w:rPr>
          <w:rFonts w:asciiTheme="minorHAnsi" w:hAnsiTheme="minorHAnsi" w:cs="TT6084o00"/>
        </w:rPr>
      </w:pPr>
    </w:p>
    <w:p w14:paraId="4088C0A7" w14:textId="74C8AB4E" w:rsidR="00935B62" w:rsidRPr="0061333D" w:rsidRDefault="00365D06" w:rsidP="00935B62">
      <w:r>
        <w:rPr>
          <w:rFonts w:asciiTheme="minorHAnsi" w:hAnsiTheme="minorHAnsi" w:cs="TT6084o00"/>
        </w:rPr>
        <w:lastRenderedPageBreak/>
        <w:t>Sökanden</w:t>
      </w:r>
      <w:r w:rsidR="00935B62" w:rsidRPr="0061333D">
        <w:rPr>
          <w:rFonts w:asciiTheme="minorHAnsi" w:hAnsiTheme="minorHAnsi" w:cs="TT6084o00"/>
        </w:rPr>
        <w:t xml:space="preserve"> har ansökt om undersökningstillstånd inom ett stort geografiskt sammanhängande område. O</w:t>
      </w:r>
      <w:r w:rsidR="00935B62" w:rsidRPr="0061333D">
        <w:t>mrådets storlek har ett givet samband med tillståndshavarens förmåga och resurser att på ett ändamålsenligt sätt undersöka området</w:t>
      </w:r>
      <w:r w:rsidR="00A753C1">
        <w:t>, vilket inte har bevisats för Förvaltningsrätten i Luleå.</w:t>
      </w:r>
    </w:p>
    <w:p w14:paraId="5953974A" w14:textId="77777777" w:rsidR="00935B62" w:rsidRPr="00704D9C" w:rsidRDefault="00935B62" w:rsidP="00935B62">
      <w:pPr>
        <w:rPr>
          <w:rFonts w:asciiTheme="minorHAnsi" w:hAnsiTheme="minorHAnsi" w:cs="TT6084o00"/>
          <w:i/>
        </w:rPr>
      </w:pPr>
    </w:p>
    <w:p w14:paraId="76DFDCCD" w14:textId="1B7C31A4" w:rsidR="00935B62" w:rsidRPr="008E4061" w:rsidRDefault="0061333D" w:rsidP="00935B62">
      <w:pPr>
        <w:rPr>
          <w:rFonts w:asciiTheme="minorHAnsi" w:hAnsiTheme="minorHAnsi"/>
          <w:i/>
        </w:rPr>
      </w:pPr>
      <w:r>
        <w:rPr>
          <w:rFonts w:asciiTheme="majorHAnsi" w:hAnsiTheme="majorHAnsi"/>
        </w:rPr>
        <w:t>M</w:t>
      </w:r>
      <w:r w:rsidR="00935B62" w:rsidRPr="008E4061">
        <w:rPr>
          <w:rFonts w:asciiTheme="majorHAnsi" w:hAnsiTheme="majorHAnsi"/>
        </w:rPr>
        <w:t xml:space="preserve">ot bakgrund av att </w:t>
      </w:r>
      <w:r w:rsidR="00935B62" w:rsidRPr="008E4061">
        <w:rPr>
          <w:rFonts w:asciiTheme="majorHAnsi" w:hAnsiTheme="majorHAnsi" w:cs="Times New Roman"/>
        </w:rPr>
        <w:t>undersökningsarbete ska bedrivas så att minsta möjliga skada och intrång vållas på annans egendom och på natur- och kulturmiljön förefaller det högst olämpligt att ge tillstånd till undersökningsarbeten i området.</w:t>
      </w:r>
      <w:r>
        <w:rPr>
          <w:rFonts w:asciiTheme="majorHAnsi" w:hAnsiTheme="majorHAnsi" w:cs="Times New Roman"/>
        </w:rPr>
        <w:t xml:space="preserve"> </w:t>
      </w:r>
    </w:p>
    <w:p w14:paraId="0526AC66" w14:textId="77777777" w:rsidR="00935B62" w:rsidRDefault="00935B62" w:rsidP="00935B62">
      <w:pPr>
        <w:rPr>
          <w:rFonts w:asciiTheme="minorHAnsi" w:hAnsiTheme="minorHAnsi" w:cs="TT6084o00"/>
        </w:rPr>
      </w:pPr>
    </w:p>
    <w:p w14:paraId="37B0655A" w14:textId="43F2CEF9" w:rsidR="00935B62" w:rsidRPr="003B1952" w:rsidRDefault="00935B62" w:rsidP="00935B62">
      <w:r>
        <w:t xml:space="preserve">Undersökningstillståndet innebär att </w:t>
      </w:r>
      <w:r w:rsidR="00FF3A9D" w:rsidRPr="00FF3A9D">
        <w:rPr>
          <w:highlight w:val="yellow"/>
        </w:rPr>
        <w:t>min/vår</w:t>
      </w:r>
      <w:r>
        <w:t xml:space="preserve"> fastighet ianspråktas för undersökningsarbete på expropriationsliknande grund. </w:t>
      </w:r>
      <w:r w:rsidR="00625BBE" w:rsidRPr="00625BBE">
        <w:rPr>
          <w:highlight w:val="yellow"/>
        </w:rPr>
        <w:t>Min/Vår</w:t>
      </w:r>
      <w:r>
        <w:t xml:space="preserve"> möjlighet att disponera över fastigheten begränsas. Beslutet om undersökningstillstånd </w:t>
      </w:r>
      <w:r w:rsidRPr="003B1952">
        <w:t xml:space="preserve">innebär även att </w:t>
      </w:r>
      <w:r w:rsidR="009B24DD">
        <w:t>Sökanden</w:t>
      </w:r>
      <w:r w:rsidRPr="003B1952">
        <w:t xml:space="preserve"> får förtur att söka bearbetningskoncession för brytning av eventuella fyndigheter på fastigheten. Omfattningen av </w:t>
      </w:r>
      <w:r w:rsidR="00365D06">
        <w:t>intrånget</w:t>
      </w:r>
      <w:r w:rsidRPr="003B1952">
        <w:t xml:space="preserve"> i följd av undersökningstillståndet står dock inte klart förrän arbetsplan som avser berört område</w:t>
      </w:r>
      <w:r w:rsidR="00365D06">
        <w:t xml:space="preserve"> upprättats</w:t>
      </w:r>
      <w:r>
        <w:t xml:space="preserve">. </w:t>
      </w:r>
      <w:r w:rsidR="008977EA">
        <w:t xml:space="preserve">Fastighetsvärdet på vår fastighet kan påverkas negativt om tillstånd ges för undersökningstillstånd. </w:t>
      </w:r>
    </w:p>
    <w:p w14:paraId="052CEC30" w14:textId="77777777" w:rsidR="00935B62" w:rsidRDefault="00935B62" w:rsidP="00935B62"/>
    <w:p w14:paraId="276DB3A6" w14:textId="6CB2E10A" w:rsidR="00935B62" w:rsidRPr="00FA4F7B" w:rsidRDefault="00935B62" w:rsidP="00935B62">
      <w:pPr>
        <w:tabs>
          <w:tab w:val="left" w:pos="3402"/>
          <w:tab w:val="left" w:pos="5104"/>
        </w:tabs>
      </w:pPr>
      <w:r>
        <w:t>Det</w:t>
      </w:r>
      <w:r w:rsidRPr="00C32C78">
        <w:t xml:space="preserve"> bevilja</w:t>
      </w:r>
      <w:r>
        <w:t>de</w:t>
      </w:r>
      <w:r w:rsidRPr="00C32C78">
        <w:t xml:space="preserve"> undersökningstillstånd</w:t>
      </w:r>
      <w:r>
        <w:t>et</w:t>
      </w:r>
      <w:r w:rsidRPr="00C32C78">
        <w:t xml:space="preserve"> har en giltighetstid på </w:t>
      </w:r>
      <w:r w:rsidR="00365D06">
        <w:t>tre</w:t>
      </w:r>
      <w:r w:rsidRPr="00C32C78">
        <w:t xml:space="preserve"> år </w:t>
      </w:r>
      <w:r>
        <w:t xml:space="preserve">från och med dagen för beslutet men kan, under vissa omständigheter, förlängas till att gälla i maximalt </w:t>
      </w:r>
      <w:r w:rsidRPr="00E61A2F">
        <w:t xml:space="preserve">15 år. </w:t>
      </w:r>
      <w:r>
        <w:t xml:space="preserve">Det kan således konstateras att det är för en icke oansenlig tid som </w:t>
      </w:r>
      <w:r w:rsidR="00FF3A9D" w:rsidRPr="00FF3A9D">
        <w:rPr>
          <w:highlight w:val="yellow"/>
        </w:rPr>
        <w:t>jag/vi</w:t>
      </w:r>
      <w:r>
        <w:t xml:space="preserve"> kan nödgas tillåta undersökningsarbete på fastighet</w:t>
      </w:r>
      <w:r w:rsidR="00B007F7">
        <w:t>en</w:t>
      </w:r>
      <w:r>
        <w:t xml:space="preserve">. </w:t>
      </w:r>
    </w:p>
    <w:p w14:paraId="126C82DD" w14:textId="77777777" w:rsidR="00935B62" w:rsidRDefault="00935B62" w:rsidP="00935B62"/>
    <w:p w14:paraId="5C673713" w14:textId="2B9D0CAD" w:rsidR="00BE6946" w:rsidRDefault="00935B62" w:rsidP="00935B62">
      <w:pPr>
        <w:tabs>
          <w:tab w:val="left" w:pos="3402"/>
          <w:tab w:val="left" w:pos="5104"/>
        </w:tabs>
      </w:pPr>
      <w:r w:rsidRPr="00FA4F7B">
        <w:t xml:space="preserve">Likaså hindrar denna schematiska tillståndsgivning en rättssäker prövning enligt den proportionalitetsprincip som såväl Europadomstolen som Högsta domstolen fastslagit äger tillämpning vid ingrepp i egendomsskyddet. </w:t>
      </w:r>
    </w:p>
    <w:p w14:paraId="34F4E7F9" w14:textId="3273FA8D" w:rsidR="000174ED" w:rsidRDefault="000174ED" w:rsidP="00935B62">
      <w:pPr>
        <w:tabs>
          <w:tab w:val="left" w:pos="3402"/>
          <w:tab w:val="left" w:pos="5104"/>
        </w:tabs>
      </w:pPr>
    </w:p>
    <w:p w14:paraId="1E6021EC" w14:textId="1887C3A5" w:rsidR="009225D6" w:rsidRDefault="000174ED" w:rsidP="00456156">
      <w:pPr>
        <w:tabs>
          <w:tab w:val="left" w:pos="3402"/>
          <w:tab w:val="left" w:pos="5104"/>
        </w:tabs>
      </w:pPr>
      <w:r w:rsidRPr="000174ED">
        <w:rPr>
          <w:highlight w:val="yellow"/>
        </w:rPr>
        <w:t>Jag/Vi</w:t>
      </w:r>
      <w:r>
        <w:t xml:space="preserve"> vill i övrigt hänvisa till det överklagande </w:t>
      </w:r>
      <w:r w:rsidR="009225D6">
        <w:t xml:space="preserve">som </w:t>
      </w:r>
      <w:r>
        <w:t>överlämnades till Förvaltningsrätten i Luleå från Anna Bergviken, LRF Konsult</w:t>
      </w:r>
      <w:r w:rsidR="006C3B0B">
        <w:t xml:space="preserve">, </w:t>
      </w:r>
      <w:r>
        <w:t>som företräder en av berörda markägare.</w:t>
      </w:r>
      <w:r w:rsidR="006C3B0B">
        <w:t xml:space="preserve"> De synpunkter som framför stöds fullt av </w:t>
      </w:r>
      <w:r w:rsidR="006C3B0B" w:rsidRPr="006C3B0B">
        <w:rPr>
          <w:highlight w:val="yellow"/>
        </w:rPr>
        <w:t>mig/oss</w:t>
      </w:r>
      <w:r w:rsidR="00CE6235">
        <w:t>. Se bilaga</w:t>
      </w:r>
      <w:r w:rsidR="006C118D">
        <w:t xml:space="preserve"> (Anna Bergviken, LRF Konsult, överklagande till Förvaltningsrätten i Luleå</w:t>
      </w:r>
      <w:r w:rsidR="00456156">
        <w:t xml:space="preserve">, </w:t>
      </w:r>
      <w:r w:rsidR="00456156">
        <w:t>Beslut av Bergsstaten, 2018-10-18, D nr BS 200-474-2018</w:t>
      </w:r>
      <w:r w:rsidR="00456156">
        <w:t>).</w:t>
      </w:r>
    </w:p>
    <w:p w14:paraId="2B69525B" w14:textId="77777777" w:rsidR="00456156" w:rsidRDefault="00456156" w:rsidP="00456156">
      <w:pPr>
        <w:tabs>
          <w:tab w:val="left" w:pos="3402"/>
          <w:tab w:val="left" w:pos="5104"/>
        </w:tabs>
      </w:pPr>
      <w:bookmarkStart w:id="1" w:name="_GoBack"/>
      <w:bookmarkEnd w:id="1"/>
    </w:p>
    <w:p w14:paraId="0E49EC87" w14:textId="77777777" w:rsidR="00456156" w:rsidRDefault="00935B62" w:rsidP="00456156">
      <w:pPr>
        <w:pStyle w:val="Default"/>
      </w:pPr>
      <w:r w:rsidRPr="002B3DFB">
        <w:rPr>
          <w:rFonts w:asciiTheme="majorHAnsi" w:hAnsiTheme="majorHAnsi"/>
          <w:b/>
          <w:sz w:val="28"/>
          <w:szCs w:val="28"/>
        </w:rPr>
        <w:t>Inhibition</w:t>
      </w:r>
    </w:p>
    <w:p w14:paraId="4A85995E" w14:textId="2BF95D94" w:rsidR="00935B62" w:rsidRPr="009225D6" w:rsidRDefault="00935B62" w:rsidP="009225D6">
      <w:pPr>
        <w:tabs>
          <w:tab w:val="left" w:pos="3402"/>
          <w:tab w:val="left" w:pos="5104"/>
        </w:tabs>
        <w:rPr>
          <w:rFonts w:asciiTheme="majorHAnsi" w:hAnsiTheme="majorHAnsi"/>
          <w:b/>
          <w:sz w:val="28"/>
          <w:szCs w:val="28"/>
        </w:rPr>
      </w:pPr>
      <w:r w:rsidRPr="00212C2C">
        <w:rPr>
          <w:rFonts w:asciiTheme="majorHAnsi" w:hAnsiTheme="majorHAnsi" w:cs="Times New Roman"/>
        </w:rPr>
        <w:t xml:space="preserve">som ger enskilda rätten att föra talan vid domstol är principiellt viktiga. </w:t>
      </w:r>
      <w:r w:rsidRPr="001B5C85">
        <w:t xml:space="preserve">Att ett beslut om undersökningstillstånd inte behöver vinna laga kraft för att tillståndet ska få tas i anspråk innebär ytterligare marginalisering av det intrång som </w:t>
      </w:r>
      <w:r w:rsidR="00EE6731">
        <w:t xml:space="preserve">den enskilde </w:t>
      </w:r>
      <w:r w:rsidRPr="001B5C85">
        <w:t xml:space="preserve">markägaren drabbas av. Vid sådan prövningsordning kommer </w:t>
      </w:r>
      <w:r w:rsidR="00EE6731">
        <w:t xml:space="preserve"> Sökanden</w:t>
      </w:r>
      <w:r w:rsidRPr="001B5C85">
        <w:t xml:space="preserve"> med stor sannolikhet redan ha utfört de omtvistade undersökningsarbetena innan dess att saken prövats i laga ordning. </w:t>
      </w:r>
      <w:r w:rsidR="001E00D9" w:rsidRPr="00BB00EA">
        <w:rPr>
          <w:highlight w:val="yellow"/>
        </w:rPr>
        <w:t>Jag/VI</w:t>
      </w:r>
      <w:r w:rsidRPr="001B5C85">
        <w:t xml:space="preserve"> skulle</w:t>
      </w:r>
      <w:r>
        <w:t xml:space="preserve"> då stå helt utan rättssäkerhet</w:t>
      </w:r>
      <w:r w:rsidRPr="001B5C85">
        <w:t xml:space="preserve">.  </w:t>
      </w:r>
    </w:p>
    <w:p w14:paraId="025999AC" w14:textId="77777777" w:rsidR="00935B62" w:rsidRDefault="00935B62" w:rsidP="00935B62">
      <w:pPr>
        <w:tabs>
          <w:tab w:val="left" w:pos="3402"/>
          <w:tab w:val="left" w:pos="5104"/>
        </w:tabs>
      </w:pPr>
    </w:p>
    <w:p w14:paraId="42690BE3" w14:textId="6CFD3EC9" w:rsidR="00935B62" w:rsidRDefault="00935B62" w:rsidP="00935B62">
      <w:pPr>
        <w:tabs>
          <w:tab w:val="left" w:pos="3402"/>
          <w:tab w:val="left" w:pos="5104"/>
        </w:tabs>
      </w:pPr>
      <w:r>
        <w:t xml:space="preserve">Härmed hemställs således om inhibition varvid det överklagade beslutet inte ska börja gälla intill dess att det vunnit laga kraft. </w:t>
      </w:r>
    </w:p>
    <w:p w14:paraId="278E7B77" w14:textId="77777777" w:rsidR="006C3B0B" w:rsidRPr="00212C2C" w:rsidRDefault="006C3B0B" w:rsidP="00935B62">
      <w:pPr>
        <w:tabs>
          <w:tab w:val="left" w:pos="3402"/>
          <w:tab w:val="left" w:pos="5104"/>
        </w:tabs>
        <w:rPr>
          <w:rFonts w:asciiTheme="majorHAnsi" w:hAnsiTheme="majorHAnsi" w:cs="Times New Roman"/>
        </w:rPr>
      </w:pPr>
    </w:p>
    <w:p w14:paraId="52F9EA58" w14:textId="77777777" w:rsidR="00935B62" w:rsidRDefault="00935B62" w:rsidP="00935B62"/>
    <w:p w14:paraId="58A00B82" w14:textId="77777777" w:rsidR="00935B62" w:rsidRDefault="00935B62" w:rsidP="00935B62"/>
    <w:p w14:paraId="0EE65664" w14:textId="77777777" w:rsidR="00935B62" w:rsidRDefault="00935B62" w:rsidP="00935B62">
      <w:r w:rsidRPr="00935B62">
        <w:rPr>
          <w:highlight w:val="yellow"/>
        </w:rPr>
        <w:lastRenderedPageBreak/>
        <w:t>[Ort]</w:t>
      </w:r>
      <w:r>
        <w:t xml:space="preserve"> som ovan</w:t>
      </w:r>
    </w:p>
    <w:p w14:paraId="358CFDD7" w14:textId="77777777" w:rsidR="00935B62" w:rsidRDefault="00935B62" w:rsidP="00935B62">
      <w:pPr>
        <w:ind w:left="-567"/>
      </w:pPr>
    </w:p>
    <w:p w14:paraId="7CF2EDD4" w14:textId="77777777" w:rsidR="00935B62" w:rsidRDefault="00935B62" w:rsidP="00935B62"/>
    <w:p w14:paraId="0E9ADE39" w14:textId="77777777" w:rsidR="00935B62" w:rsidRDefault="00935B62" w:rsidP="00935B62"/>
    <w:p w14:paraId="664BDC17" w14:textId="77777777" w:rsidR="00935B62" w:rsidRDefault="00935B62" w:rsidP="00935B62">
      <w:r>
        <w:t>_______________________</w:t>
      </w:r>
    </w:p>
    <w:p w14:paraId="07473EB8" w14:textId="77777777" w:rsidR="00935B62" w:rsidRDefault="00935B62" w:rsidP="00935B62">
      <w:r w:rsidRPr="00935B62">
        <w:rPr>
          <w:highlight w:val="yellow"/>
        </w:rPr>
        <w:t>[Namn]</w:t>
      </w:r>
    </w:p>
    <w:p w14:paraId="533DBC95" w14:textId="77777777" w:rsidR="00935B62" w:rsidRDefault="00935B62" w:rsidP="00935B62"/>
    <w:p w14:paraId="027892A0" w14:textId="77777777" w:rsidR="00935B62" w:rsidRDefault="00935B62" w:rsidP="00935B62"/>
    <w:p w14:paraId="48FE7E9F" w14:textId="20FC50E6" w:rsidR="000C2C62" w:rsidRDefault="000D4271" w:rsidP="0029528D">
      <w:pPr>
        <w:spacing w:after="200" w:line="276" w:lineRule="auto"/>
      </w:pPr>
      <w:r>
        <w:t>Eventuellt fler namn och fastighetsbeteckningar</w:t>
      </w:r>
    </w:p>
    <w:sectPr w:rsidR="000C2C62" w:rsidSect="0029528D">
      <w:headerReference w:type="default" r:id="rId10"/>
      <w:headerReference w:type="first" r:id="rId11"/>
      <w:pgSz w:w="11906" w:h="16838"/>
      <w:pgMar w:top="2268" w:right="1418" w:bottom="1134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na Bergviken" w:date="2019-01-18T15:09:00Z" w:initials="AB">
    <w:p w14:paraId="664C8728" w14:textId="77777777" w:rsidR="00B153F7" w:rsidRDefault="00B153F7">
      <w:pPr>
        <w:pStyle w:val="Kommentarer"/>
      </w:pPr>
      <w:r>
        <w:rPr>
          <w:rStyle w:val="Kommentarsreferens"/>
        </w:rPr>
        <w:annotationRef/>
      </w:r>
      <w:r>
        <w:t>Obs. överklagandet skickas in till Bergsstaten.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4C87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4C8728" w16cid:durableId="203397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97EBB" w14:textId="77777777" w:rsidR="00F54050" w:rsidRDefault="00F54050" w:rsidP="000C2C62">
      <w:pPr>
        <w:spacing w:line="240" w:lineRule="auto"/>
      </w:pPr>
      <w:r>
        <w:separator/>
      </w:r>
    </w:p>
  </w:endnote>
  <w:endnote w:type="continuationSeparator" w:id="0">
    <w:p w14:paraId="00C43377" w14:textId="77777777" w:rsidR="00F54050" w:rsidRDefault="00F54050" w:rsidP="000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084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13AD" w14:textId="77777777" w:rsidR="00F54050" w:rsidRDefault="00F54050" w:rsidP="000C2C62">
      <w:pPr>
        <w:spacing w:line="240" w:lineRule="auto"/>
      </w:pPr>
      <w:r>
        <w:separator/>
      </w:r>
    </w:p>
  </w:footnote>
  <w:footnote w:type="continuationSeparator" w:id="0">
    <w:p w14:paraId="2D0C5E78" w14:textId="77777777" w:rsidR="00F54050" w:rsidRDefault="00F54050" w:rsidP="000C2C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075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6"/>
      <w:gridCol w:w="2019"/>
      <w:gridCol w:w="2020"/>
    </w:tblGrid>
    <w:tr w:rsidR="0029528D" w14:paraId="3D0F57F3" w14:textId="77777777" w:rsidTr="002C560A">
      <w:tc>
        <w:tcPr>
          <w:tcW w:w="6036" w:type="dxa"/>
        </w:tcPr>
        <w:p w14:paraId="04FC4D74" w14:textId="77777777" w:rsidR="0029528D" w:rsidRDefault="0029528D" w:rsidP="002C560A">
          <w:pPr>
            <w:pStyle w:val="Sidhuvud"/>
          </w:pPr>
        </w:p>
      </w:tc>
      <w:tc>
        <w:tcPr>
          <w:tcW w:w="2019" w:type="dxa"/>
        </w:tcPr>
        <w:p w14:paraId="5E3418E1" w14:textId="77777777" w:rsidR="0029528D" w:rsidRDefault="0029528D" w:rsidP="002C560A">
          <w:pPr>
            <w:pStyle w:val="Sidhuvud"/>
          </w:pPr>
        </w:p>
      </w:tc>
      <w:tc>
        <w:tcPr>
          <w:tcW w:w="2020" w:type="dxa"/>
        </w:tcPr>
        <w:p w14:paraId="0FAB635B" w14:textId="77777777" w:rsidR="0029528D" w:rsidRDefault="0029528D" w:rsidP="002C560A">
          <w:pPr>
            <w:pStyle w:val="Sidhuvud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41ECB">
            <w:rPr>
              <w:noProof/>
            </w:rPr>
            <w:t>2</w:t>
          </w:r>
          <w:r>
            <w:fldChar w:fldCharType="end"/>
          </w:r>
          <w:r>
            <w:t>(</w:t>
          </w:r>
          <w:fldSimple w:instr=" NUMPAGES  \* Arabic  \* MERGEFORMAT ">
            <w:r w:rsidR="00141ECB">
              <w:rPr>
                <w:noProof/>
              </w:rPr>
              <w:t>13</w:t>
            </w:r>
          </w:fldSimple>
          <w:r>
            <w:t>)</w:t>
          </w:r>
        </w:p>
      </w:tc>
    </w:tr>
  </w:tbl>
  <w:p w14:paraId="10ADE078" w14:textId="77777777" w:rsidR="000C2C62" w:rsidRDefault="000C2C6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075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6"/>
      <w:gridCol w:w="2019"/>
      <w:gridCol w:w="2020"/>
    </w:tblGrid>
    <w:tr w:rsidR="000C2C62" w14:paraId="4808A9FC" w14:textId="77777777" w:rsidTr="0029528D">
      <w:tc>
        <w:tcPr>
          <w:tcW w:w="6036" w:type="dxa"/>
        </w:tcPr>
        <w:p w14:paraId="1A675377" w14:textId="77777777" w:rsidR="000C2C62" w:rsidRPr="00704D9C" w:rsidRDefault="000C2C62" w:rsidP="00340819">
          <w:pPr>
            <w:pStyle w:val="Sidhuvud"/>
            <w:rPr>
              <w:sz w:val="22"/>
              <w:highlight w:val="yellow"/>
            </w:rPr>
          </w:pPr>
        </w:p>
      </w:tc>
      <w:tc>
        <w:tcPr>
          <w:tcW w:w="2019" w:type="dxa"/>
        </w:tcPr>
        <w:p w14:paraId="08F9AAEA" w14:textId="77777777" w:rsidR="000C2C62" w:rsidRPr="00704D9C" w:rsidRDefault="00704D9C" w:rsidP="00340819">
          <w:pPr>
            <w:pStyle w:val="Sidhuvud"/>
            <w:rPr>
              <w:sz w:val="22"/>
              <w:highlight w:val="yellow"/>
            </w:rPr>
          </w:pPr>
          <w:r w:rsidRPr="00704D9C">
            <w:rPr>
              <w:sz w:val="22"/>
              <w:highlight w:val="yellow"/>
            </w:rPr>
            <w:t>[Ort / datum]</w:t>
          </w:r>
        </w:p>
      </w:tc>
      <w:tc>
        <w:tcPr>
          <w:tcW w:w="2020" w:type="dxa"/>
        </w:tcPr>
        <w:p w14:paraId="6D1E8CB3" w14:textId="77777777" w:rsidR="000C2C62" w:rsidRDefault="000C2C62" w:rsidP="00340819">
          <w:pPr>
            <w:pStyle w:val="Sidhuvud"/>
            <w:jc w:val="right"/>
          </w:pPr>
        </w:p>
      </w:tc>
    </w:tr>
  </w:tbl>
  <w:p w14:paraId="0F6E053D" w14:textId="77777777" w:rsidR="000C2C62" w:rsidRDefault="000C2C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BD0BEE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786FF4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F20EC15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774FA7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2A02A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C81A23BA"/>
    <w:lvl w:ilvl="0">
      <w:start w:val="1"/>
      <w:numFmt w:val="bullet"/>
      <w:pStyle w:val="Punktlista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</w:abstractNum>
  <w:abstractNum w:abstractNumId="6" w15:restartNumberingAfterBreak="0">
    <w:nsid w:val="088F0830"/>
    <w:multiLevelType w:val="hybridMultilevel"/>
    <w:tmpl w:val="EAF445AC"/>
    <w:lvl w:ilvl="0" w:tplc="1A823C2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23EAC"/>
    <w:multiLevelType w:val="multilevel"/>
    <w:tmpl w:val="68169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62"/>
    <w:rsid w:val="00011FD0"/>
    <w:rsid w:val="000174ED"/>
    <w:rsid w:val="0002187A"/>
    <w:rsid w:val="00087E7B"/>
    <w:rsid w:val="000A234F"/>
    <w:rsid w:val="000C2C62"/>
    <w:rsid w:val="000D4271"/>
    <w:rsid w:val="000E46A3"/>
    <w:rsid w:val="00141ECB"/>
    <w:rsid w:val="0015367B"/>
    <w:rsid w:val="001953F8"/>
    <w:rsid w:val="001B2B40"/>
    <w:rsid w:val="001D493C"/>
    <w:rsid w:val="001E00D9"/>
    <w:rsid w:val="0029456D"/>
    <w:rsid w:val="0029528D"/>
    <w:rsid w:val="002B3DFB"/>
    <w:rsid w:val="00336A61"/>
    <w:rsid w:val="00364740"/>
    <w:rsid w:val="00365D06"/>
    <w:rsid w:val="003A0E82"/>
    <w:rsid w:val="003A6B2E"/>
    <w:rsid w:val="003C2E86"/>
    <w:rsid w:val="00456156"/>
    <w:rsid w:val="00486208"/>
    <w:rsid w:val="00540E89"/>
    <w:rsid w:val="0057435C"/>
    <w:rsid w:val="0061333D"/>
    <w:rsid w:val="00625BBE"/>
    <w:rsid w:val="00685295"/>
    <w:rsid w:val="006B6B1B"/>
    <w:rsid w:val="006B7386"/>
    <w:rsid w:val="006C118D"/>
    <w:rsid w:val="006C3B0B"/>
    <w:rsid w:val="006C6B66"/>
    <w:rsid w:val="00704D9C"/>
    <w:rsid w:val="007157F9"/>
    <w:rsid w:val="00731F82"/>
    <w:rsid w:val="00774DC5"/>
    <w:rsid w:val="007C04E9"/>
    <w:rsid w:val="007D32EC"/>
    <w:rsid w:val="007D53F8"/>
    <w:rsid w:val="00842F3A"/>
    <w:rsid w:val="0086192C"/>
    <w:rsid w:val="008977EA"/>
    <w:rsid w:val="008E4061"/>
    <w:rsid w:val="009225D6"/>
    <w:rsid w:val="00935B62"/>
    <w:rsid w:val="00974EC3"/>
    <w:rsid w:val="00980BF5"/>
    <w:rsid w:val="009B24DD"/>
    <w:rsid w:val="009D43FB"/>
    <w:rsid w:val="00A0228A"/>
    <w:rsid w:val="00A23882"/>
    <w:rsid w:val="00A66128"/>
    <w:rsid w:val="00A753C1"/>
    <w:rsid w:val="00A971FB"/>
    <w:rsid w:val="00AA6ACF"/>
    <w:rsid w:val="00AF24EE"/>
    <w:rsid w:val="00AF280F"/>
    <w:rsid w:val="00AF74E5"/>
    <w:rsid w:val="00B007F7"/>
    <w:rsid w:val="00B10158"/>
    <w:rsid w:val="00B1382F"/>
    <w:rsid w:val="00B153F7"/>
    <w:rsid w:val="00B4194A"/>
    <w:rsid w:val="00B9213A"/>
    <w:rsid w:val="00BB00EA"/>
    <w:rsid w:val="00BB04C7"/>
    <w:rsid w:val="00BD4FAA"/>
    <w:rsid w:val="00BD5963"/>
    <w:rsid w:val="00BE6946"/>
    <w:rsid w:val="00BF5429"/>
    <w:rsid w:val="00C6777D"/>
    <w:rsid w:val="00C8698C"/>
    <w:rsid w:val="00C92C27"/>
    <w:rsid w:val="00CA7370"/>
    <w:rsid w:val="00CE6235"/>
    <w:rsid w:val="00D0172D"/>
    <w:rsid w:val="00D70C58"/>
    <w:rsid w:val="00D71C84"/>
    <w:rsid w:val="00E32820"/>
    <w:rsid w:val="00E623E4"/>
    <w:rsid w:val="00E959A8"/>
    <w:rsid w:val="00EC79D1"/>
    <w:rsid w:val="00EE6731"/>
    <w:rsid w:val="00F43E97"/>
    <w:rsid w:val="00F45671"/>
    <w:rsid w:val="00F54050"/>
    <w:rsid w:val="00F7652F"/>
    <w:rsid w:val="00FD5B30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0539C8"/>
  <w15:docId w15:val="{276C5F63-B481-49C7-A584-532D51D6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B62"/>
    <w:pPr>
      <w:spacing w:after="0" w:line="300" w:lineRule="atLeast"/>
    </w:pPr>
    <w:rPr>
      <w:rFonts w:ascii="Franklin Gothic Book" w:hAnsi="Franklin Gothic Book"/>
    </w:rPr>
  </w:style>
  <w:style w:type="paragraph" w:styleId="Rubrik1">
    <w:name w:val="heading 1"/>
    <w:next w:val="Normal"/>
    <w:link w:val="Rubrik1Char"/>
    <w:uiPriority w:val="9"/>
    <w:qFormat/>
    <w:rsid w:val="000C2C62"/>
    <w:pPr>
      <w:keepNext/>
      <w:keepLines/>
      <w:spacing w:after="0" w:line="500" w:lineRule="atLeast"/>
      <w:outlineLvl w:val="0"/>
    </w:pPr>
    <w:rPr>
      <w:rFonts w:ascii="Franklin Gothic Book" w:eastAsiaTheme="majorEastAsia" w:hAnsi="Franklin Gothic Book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95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95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0C2C62"/>
    <w:pPr>
      <w:tabs>
        <w:tab w:val="center" w:pos="4536"/>
        <w:tab w:val="right" w:pos="9072"/>
      </w:tabs>
      <w:spacing w:after="0" w:line="260" w:lineRule="atLeast"/>
    </w:pPr>
    <w:rPr>
      <w:rFonts w:ascii="Franklin Gothic Book" w:hAnsi="Franklin Gothic Book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C2C62"/>
    <w:rPr>
      <w:rFonts w:ascii="Franklin Gothic Book" w:hAnsi="Franklin Gothic Book"/>
      <w:sz w:val="18"/>
    </w:rPr>
  </w:style>
  <w:style w:type="paragraph" w:styleId="Sidfot">
    <w:name w:val="footer"/>
    <w:basedOn w:val="Normal"/>
    <w:link w:val="SidfotChar"/>
    <w:uiPriority w:val="99"/>
    <w:unhideWhenUsed/>
    <w:rsid w:val="000C2C62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0C2C62"/>
    <w:rPr>
      <w:rFonts w:ascii="Franklin Gothic Book" w:hAnsi="Franklin Gothic Book"/>
      <w:sz w:val="14"/>
    </w:rPr>
  </w:style>
  <w:style w:type="table" w:styleId="Tabellrutnt">
    <w:name w:val="Table Grid"/>
    <w:basedOn w:val="Normaltabell"/>
    <w:uiPriority w:val="59"/>
    <w:rsid w:val="000C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C2C62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2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2C62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C2C62"/>
    <w:rPr>
      <w:rFonts w:ascii="Franklin Gothic Book" w:eastAsiaTheme="majorEastAsia" w:hAnsi="Franklin Gothic Book" w:cstheme="majorBidi"/>
      <w:bCs/>
      <w:sz w:val="36"/>
      <w:szCs w:val="28"/>
    </w:rPr>
  </w:style>
  <w:style w:type="paragraph" w:styleId="Punktlista">
    <w:name w:val="List Bullet"/>
    <w:basedOn w:val="Normal"/>
    <w:uiPriority w:val="99"/>
    <w:qFormat/>
    <w:rsid w:val="00AF24EE"/>
    <w:pPr>
      <w:numPr>
        <w:numId w:val="4"/>
      </w:numPr>
      <w:ind w:left="284" w:hanging="284"/>
      <w:contextualSpacing/>
    </w:pPr>
  </w:style>
  <w:style w:type="paragraph" w:styleId="Punktlista2">
    <w:name w:val="List Bullet 2"/>
    <w:basedOn w:val="Normal"/>
    <w:uiPriority w:val="99"/>
    <w:rsid w:val="0057435C"/>
    <w:pPr>
      <w:numPr>
        <w:numId w:val="5"/>
      </w:numPr>
      <w:ind w:left="568" w:hanging="284"/>
      <w:contextualSpacing/>
    </w:pPr>
  </w:style>
  <w:style w:type="paragraph" w:styleId="Punktlista3">
    <w:name w:val="List Bullet 3"/>
    <w:basedOn w:val="Normal"/>
    <w:uiPriority w:val="99"/>
    <w:rsid w:val="0057435C"/>
    <w:pPr>
      <w:numPr>
        <w:numId w:val="6"/>
      </w:numPr>
      <w:ind w:left="851" w:hanging="284"/>
      <w:contextualSpacing/>
    </w:pPr>
  </w:style>
  <w:style w:type="paragraph" w:styleId="Numreradlista">
    <w:name w:val="List Number"/>
    <w:basedOn w:val="Normal"/>
    <w:uiPriority w:val="99"/>
    <w:qFormat/>
    <w:rsid w:val="00AF24EE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Numreradlista2">
    <w:name w:val="List Number 2"/>
    <w:basedOn w:val="Normal"/>
    <w:uiPriority w:val="99"/>
    <w:rsid w:val="0057435C"/>
    <w:pPr>
      <w:numPr>
        <w:numId w:val="2"/>
      </w:numPr>
      <w:ind w:left="568" w:hanging="284"/>
      <w:contextualSpacing/>
    </w:pPr>
  </w:style>
  <w:style w:type="paragraph" w:styleId="Numreradlista3">
    <w:name w:val="List Number 3"/>
    <w:basedOn w:val="Normal"/>
    <w:uiPriority w:val="99"/>
    <w:rsid w:val="0057435C"/>
    <w:pPr>
      <w:numPr>
        <w:numId w:val="3"/>
      </w:numPr>
      <w:ind w:left="851" w:hanging="284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E959A8"/>
    <w:rPr>
      <w:rFonts w:asciiTheme="majorHAnsi" w:eastAsiaTheme="majorEastAsia" w:hAnsiTheme="majorHAnsi" w:cstheme="majorBidi"/>
      <w:bCs/>
      <w:i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959A8"/>
    <w:rPr>
      <w:rFonts w:asciiTheme="majorHAnsi" w:eastAsiaTheme="majorEastAsia" w:hAnsiTheme="majorHAnsi" w:cstheme="majorBidi"/>
      <w:b/>
      <w:bCs/>
      <w:i/>
      <w:sz w:val="20"/>
    </w:rPr>
  </w:style>
  <w:style w:type="paragraph" w:styleId="Liststycke">
    <w:name w:val="List Paragraph"/>
    <w:basedOn w:val="Normal"/>
    <w:uiPriority w:val="34"/>
    <w:semiHidden/>
    <w:qFormat/>
    <w:rsid w:val="00935B6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35B62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35B62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35B62"/>
    <w:rPr>
      <w:rFonts w:ascii="Franklin Gothic Book" w:hAnsi="Franklin Gothic Book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35B62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04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04D9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04D9C"/>
    <w:rPr>
      <w:rFonts w:ascii="Franklin Gothic Book" w:hAnsi="Franklin Gothic Book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4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4D9C"/>
    <w:rPr>
      <w:rFonts w:ascii="Franklin Gothic Book" w:hAnsi="Franklin Gothic Book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53F7"/>
    <w:pPr>
      <w:spacing w:after="0" w:line="240" w:lineRule="auto"/>
    </w:pPr>
    <w:rPr>
      <w:rFonts w:ascii="Franklin Gothic Book" w:hAnsi="Franklin Gothic Book"/>
    </w:rPr>
  </w:style>
  <w:style w:type="paragraph" w:customStyle="1" w:styleId="Default">
    <w:name w:val="Default"/>
    <w:rsid w:val="0045615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RF%20Konsult\Tomt%20dokument.dotm" TargetMode="External"/></Relationships>
</file>

<file path=word/theme/theme1.xml><?xml version="1.0" encoding="utf-8"?>
<a:theme xmlns:a="http://schemas.openxmlformats.org/drawingml/2006/main" name="LRF Konsult">
  <a:themeElements>
    <a:clrScheme name="LRF Konsult">
      <a:dk1>
        <a:sysClr val="windowText" lastClr="000000"/>
      </a:dk1>
      <a:lt1>
        <a:sysClr val="window" lastClr="FFFFFF"/>
      </a:lt1>
      <a:dk2>
        <a:srgbClr val="003580"/>
      </a:dk2>
      <a:lt2>
        <a:srgbClr val="9B9A9A"/>
      </a:lt2>
      <a:accent1>
        <a:srgbClr val="003580"/>
      </a:accent1>
      <a:accent2>
        <a:srgbClr val="F1AB00"/>
      </a:accent2>
      <a:accent3>
        <a:srgbClr val="6F8135"/>
      </a:accent3>
      <a:accent4>
        <a:srgbClr val="00628C"/>
      </a:accent4>
      <a:accent5>
        <a:srgbClr val="A12830"/>
      </a:accent5>
      <a:accent6>
        <a:srgbClr val="9B9A9A"/>
      </a:accent6>
      <a:hlink>
        <a:srgbClr val="0000FF"/>
      </a:hlink>
      <a:folHlink>
        <a:srgbClr val="800080"/>
      </a:folHlink>
    </a:clrScheme>
    <a:fontScheme name="LRF Konsult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dokument.dotm</Template>
  <TotalTime>1</TotalTime>
  <Pages>3</Pages>
  <Words>666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Bergviken</dc:creator>
  <cp:lastModifiedBy>Jan Hultgren</cp:lastModifiedBy>
  <cp:revision>2</cp:revision>
  <cp:lastPrinted>2019-03-13T09:51:00Z</cp:lastPrinted>
  <dcterms:created xsi:type="dcterms:W3CDTF">2019-03-19T17:02:00Z</dcterms:created>
  <dcterms:modified xsi:type="dcterms:W3CDTF">2019-03-19T17:02:00Z</dcterms:modified>
</cp:coreProperties>
</file>